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rsidP="003D4579">
            <w:pPr>
              <w:jc w:val="cente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440E2B53" wp14:editId="6EA0F0C8">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3D4579" w:rsidRDefault="003D4579" w:rsidP="003D4579">
            <w:pPr>
              <w:jc w:val="center"/>
              <w:rPr>
                <w:rFonts w:ascii="Arial" w:hAnsi="Arial" w:cs="Arial"/>
                <w:lang w:val="en-GB"/>
              </w:rPr>
            </w:pPr>
            <w:r w:rsidRPr="003D4579">
              <w:rPr>
                <w:rFonts w:ascii="Arial" w:hAnsi="Arial" w:cs="Arial"/>
                <w:lang w:val="en-GB"/>
              </w:rPr>
              <w:t>Hairstyling Diploma Program</w:t>
            </w:r>
          </w:p>
          <w:p w:rsidR="003D4579" w:rsidRPr="003D4579" w:rsidRDefault="003D4579" w:rsidP="003D4579">
            <w:pPr>
              <w:jc w:val="center"/>
              <w:rPr>
                <w:rFonts w:ascii="Arial" w:hAnsi="Arial" w:cs="Arial"/>
                <w:lang w:val="en-GB"/>
              </w:rPr>
            </w:pP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3D4579">
            <w:pPr>
              <w:rPr>
                <w:rFonts w:ascii="Arial" w:hAnsi="Arial"/>
              </w:rPr>
            </w:pPr>
            <w:r>
              <w:rPr>
                <w:rFonts w:ascii="Arial" w:hAnsi="Arial"/>
              </w:rPr>
              <w:t>Preparatory Procedures and Treatments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3D4579">
            <w:pPr>
              <w:rPr>
                <w:rFonts w:ascii="Arial" w:hAnsi="Arial"/>
              </w:rPr>
            </w:pPr>
            <w:proofErr w:type="spellStart"/>
            <w:r>
              <w:rPr>
                <w:rFonts w:ascii="Arial" w:hAnsi="Arial"/>
              </w:rPr>
              <w:t>HSP</w:t>
            </w:r>
            <w:proofErr w:type="spellEnd"/>
            <w:r>
              <w:rPr>
                <w:rFonts w:ascii="Arial" w:hAnsi="Arial"/>
              </w:rPr>
              <w:t xml:space="preserve"> 151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3D4579">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D4579">
            <w:pPr>
              <w:rPr>
                <w:rFonts w:ascii="Arial" w:hAnsi="Arial"/>
              </w:rPr>
            </w:pPr>
            <w:r>
              <w:rPr>
                <w:rFonts w:ascii="Arial" w:hAnsi="Arial"/>
              </w:rPr>
              <w:t>Hairstyling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D4579">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D4579">
            <w:pPr>
              <w:rPr>
                <w:rFonts w:ascii="Arial" w:hAnsi="Arial"/>
              </w:rPr>
            </w:pPr>
            <w:r>
              <w:rPr>
                <w:rFonts w:ascii="Arial" w:hAnsi="Arial"/>
              </w:rPr>
              <w:t>June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3D4579">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177B40">
            <w:pPr>
              <w:jc w:val="center"/>
              <w:rPr>
                <w:rFonts w:ascii="Arial" w:hAnsi="Arial"/>
              </w:rPr>
            </w:pPr>
            <w:r>
              <w:rPr>
                <w:rFonts w:ascii="Arial" w:hAnsi="Arial"/>
              </w:rPr>
              <w:t>‘Angelique Lemay’</w:t>
            </w:r>
          </w:p>
        </w:tc>
        <w:tc>
          <w:tcPr>
            <w:tcW w:w="1188" w:type="dxa"/>
          </w:tcPr>
          <w:p w:rsidR="00D1300B" w:rsidRDefault="00177B40">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177B40">
            <w:pPr>
              <w:pStyle w:val="Heading2"/>
              <w:rPr>
                <w:rFonts w:ascii="Arial" w:hAnsi="Arial"/>
                <w:lang w:val="en-US"/>
              </w:rPr>
            </w:pPr>
            <w:r>
              <w:rPr>
                <w:rFonts w:ascii="Arial" w:hAnsi="Arial"/>
                <w:lang w:val="en-US"/>
              </w:rPr>
              <w:t>DEAN</w:t>
            </w:r>
            <w:r w:rsidR="00177B40">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D4579">
            <w:pPr>
              <w:rPr>
                <w:rFonts w:ascii="Arial" w:hAnsi="Arial"/>
              </w:rPr>
            </w:pPr>
            <w:r>
              <w:rPr>
                <w:rFonts w:ascii="Arial" w:hAnsi="Arial"/>
              </w:rPr>
              <w:t>2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D4579">
            <w:pPr>
              <w:rPr>
                <w:rFonts w:ascii="Arial" w:hAnsi="Arial"/>
              </w:rPr>
            </w:pPr>
            <w:proofErr w:type="spellStart"/>
            <w:r>
              <w:rPr>
                <w:rFonts w:ascii="Arial" w:hAnsi="Arial"/>
              </w:rPr>
              <w:t>HSP</w:t>
            </w:r>
            <w:proofErr w:type="spellEnd"/>
            <w:r>
              <w:rPr>
                <w:rFonts w:ascii="Arial" w:hAnsi="Arial"/>
              </w:rPr>
              <w:t xml:space="preserve"> 140-148</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D4579">
            <w:pPr>
              <w:rPr>
                <w:rFonts w:ascii="Arial" w:hAnsi="Arial"/>
              </w:rPr>
            </w:pPr>
            <w:r>
              <w:rPr>
                <w:rFonts w:ascii="Arial" w:hAnsi="Arial"/>
              </w:rPr>
              <w:t>40 hours- 16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77B40">
        <w:trPr>
          <w:cantSplit/>
        </w:trPr>
        <w:tc>
          <w:tcPr>
            <w:tcW w:w="8856" w:type="dxa"/>
            <w:gridSpan w:val="6"/>
          </w:tcPr>
          <w:p w:rsidR="00177B40" w:rsidRPr="00177B40" w:rsidRDefault="00177B40">
            <w:pPr>
              <w:pStyle w:val="Heading2"/>
              <w:tabs>
                <w:tab w:val="center" w:pos="4560"/>
              </w:tabs>
              <w:rPr>
                <w:rFonts w:ascii="Arial" w:hAnsi="Arial" w:cs="Arial"/>
                <w:b w:val="0"/>
                <w:i/>
                <w:sz w:val="20"/>
              </w:rPr>
            </w:pPr>
            <w:r w:rsidRPr="00177B40">
              <w:rPr>
                <w:rFonts w:ascii="Arial" w:hAnsi="Arial" w:cs="Arial"/>
                <w:b w:val="0"/>
                <w:i/>
                <w:sz w:val="20"/>
              </w:rPr>
              <w:t>For additional information, please contact Angelique Lemay, Dean</w:t>
            </w:r>
          </w:p>
          <w:p w:rsidR="00177B40" w:rsidRPr="00177B40" w:rsidRDefault="00177B40">
            <w:pPr>
              <w:jc w:val="center"/>
              <w:rPr>
                <w:sz w:val="20"/>
                <w:lang w:val="en-GB"/>
              </w:rPr>
            </w:pPr>
            <w:r w:rsidRPr="00177B40">
              <w:rPr>
                <w:rFonts w:ascii="Arial" w:hAnsi="Arial" w:cs="Arial"/>
                <w:sz w:val="20"/>
                <w:lang w:val="en-GB"/>
              </w:rPr>
              <w:t>School of Community Services, Interdisciplinary Studies, Curriculum &amp; Faculty Enrichment</w:t>
            </w:r>
          </w:p>
        </w:tc>
      </w:tr>
      <w:tr w:rsidR="00177B40">
        <w:trPr>
          <w:cantSplit/>
        </w:trPr>
        <w:tc>
          <w:tcPr>
            <w:tcW w:w="8856" w:type="dxa"/>
            <w:gridSpan w:val="6"/>
          </w:tcPr>
          <w:p w:rsidR="00177B40" w:rsidRPr="00177B40" w:rsidRDefault="00177B40">
            <w:pPr>
              <w:tabs>
                <w:tab w:val="center" w:pos="4560"/>
              </w:tabs>
              <w:jc w:val="center"/>
              <w:rPr>
                <w:rFonts w:ascii="Arial" w:hAnsi="Arial"/>
                <w:i/>
                <w:sz w:val="20"/>
                <w:lang w:val="en-GB"/>
              </w:rPr>
            </w:pPr>
          </w:p>
        </w:tc>
      </w:tr>
      <w:tr w:rsidR="00177B40">
        <w:trPr>
          <w:cantSplit/>
        </w:trPr>
        <w:tc>
          <w:tcPr>
            <w:tcW w:w="8856" w:type="dxa"/>
            <w:gridSpan w:val="6"/>
          </w:tcPr>
          <w:p w:rsidR="00177B40" w:rsidRPr="00177B40" w:rsidRDefault="00177B40">
            <w:pPr>
              <w:tabs>
                <w:tab w:val="center" w:pos="4560"/>
              </w:tabs>
              <w:jc w:val="center"/>
              <w:rPr>
                <w:rFonts w:ascii="Arial" w:hAnsi="Arial"/>
                <w:sz w:val="20"/>
              </w:rPr>
            </w:pPr>
            <w:r w:rsidRPr="00177B40">
              <w:rPr>
                <w:rFonts w:ascii="Arial" w:hAnsi="Arial"/>
                <w:i/>
                <w:sz w:val="20"/>
                <w:lang w:val="en-GB"/>
              </w:rPr>
              <w:t>(705) 759-2554, Ext. 2737</w:t>
            </w:r>
          </w:p>
        </w:tc>
      </w:tr>
    </w:tbl>
    <w:p w:rsidR="00D1300B" w:rsidRDefault="00D1300B">
      <w:pPr>
        <w:tabs>
          <w:tab w:val="center" w:pos="4560"/>
        </w:tabs>
        <w:rPr>
          <w:rFonts w:ascii="Arial" w:hAnsi="Arial"/>
          <w:i/>
          <w:lang w:val="en-GB"/>
        </w:rPr>
      </w:pPr>
      <w:bookmarkStart w:id="0" w:name="_GoBack"/>
      <w:bookmarkEnd w:id="0"/>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D4579" w:rsidRDefault="003D4579">
            <w:pPr>
              <w:rPr>
                <w:rFonts w:ascii="Arial" w:hAnsi="Arial"/>
              </w:rPr>
            </w:pPr>
            <w:r w:rsidRPr="003D4579">
              <w:rPr>
                <w:rFonts w:ascii="Arial" w:hAnsi="Arial"/>
              </w:rPr>
              <w:t>Upon successful completion the apprentice will have the ability to select and administer preparatory procedures and /or treatments using individually selected products to address client personal needs.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3D4579" w:rsidRDefault="003D4579">
            <w:pPr>
              <w:rPr>
                <w:rFonts w:ascii="Arial" w:hAnsi="Arial"/>
                <w:b/>
              </w:rPr>
            </w:pPr>
            <w:r w:rsidRPr="003D4579">
              <w:rPr>
                <w:rFonts w:ascii="Arial" w:hAnsi="Arial"/>
                <w:b/>
              </w:rPr>
              <w:t>Explain the basic chemical properties of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D4579" w:rsidRPr="003D4579" w:rsidRDefault="003D4579" w:rsidP="003D4579">
            <w:pPr>
              <w:rPr>
                <w:rFonts w:ascii="Arial" w:hAnsi="Arial"/>
              </w:rPr>
            </w:pPr>
            <w:r>
              <w:rPr>
                <w:rFonts w:ascii="Arial" w:hAnsi="Arial"/>
              </w:rPr>
              <w:t>•</w:t>
            </w:r>
            <w:r w:rsidRPr="003D4579">
              <w:rPr>
                <w:rFonts w:ascii="Arial" w:hAnsi="Arial"/>
              </w:rPr>
              <w:t xml:space="preserve">Define pH </w:t>
            </w:r>
          </w:p>
          <w:p w:rsidR="003D4579" w:rsidRDefault="003D4579" w:rsidP="003D4579">
            <w:pPr>
              <w:rPr>
                <w:rFonts w:ascii="Arial" w:hAnsi="Arial"/>
              </w:rPr>
            </w:pPr>
            <w:r>
              <w:rPr>
                <w:rFonts w:ascii="Arial" w:hAnsi="Arial"/>
              </w:rPr>
              <w:t>•</w:t>
            </w:r>
            <w:r w:rsidRPr="003D4579">
              <w:rPr>
                <w:rFonts w:ascii="Arial" w:hAnsi="Arial"/>
              </w:rPr>
              <w:t>Define the properties of water and its interaction with hair</w:t>
            </w:r>
          </w:p>
          <w:p w:rsidR="003D4579" w:rsidRDefault="003D4579" w:rsidP="003D457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3D4579" w:rsidRDefault="003D4579">
            <w:pPr>
              <w:rPr>
                <w:rFonts w:ascii="Arial" w:hAnsi="Arial"/>
                <w:b/>
              </w:rPr>
            </w:pPr>
            <w:r w:rsidRPr="003D4579">
              <w:rPr>
                <w:rFonts w:ascii="Arial" w:hAnsi="Arial"/>
                <w:b/>
              </w:rPr>
              <w:t>Identify types, conditions and disorders of hair and scalp, and make recommendations and referral to physicians as required.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D4579" w:rsidRPr="003D4579" w:rsidRDefault="003D4579" w:rsidP="003D4579">
            <w:pPr>
              <w:rPr>
                <w:rFonts w:ascii="Arial" w:hAnsi="Arial"/>
              </w:rPr>
            </w:pPr>
            <w:r>
              <w:rPr>
                <w:rFonts w:ascii="Arial" w:hAnsi="Arial"/>
              </w:rPr>
              <w:t>•</w:t>
            </w:r>
            <w:r w:rsidRPr="003D4579">
              <w:rPr>
                <w:rFonts w:ascii="Arial" w:hAnsi="Arial"/>
              </w:rPr>
              <w:t xml:space="preserve">Analyze hair condition </w:t>
            </w:r>
          </w:p>
          <w:p w:rsidR="003D4579" w:rsidRPr="003D4579" w:rsidRDefault="003D4579" w:rsidP="003D4579">
            <w:pPr>
              <w:rPr>
                <w:rFonts w:ascii="Arial" w:hAnsi="Arial"/>
              </w:rPr>
            </w:pPr>
            <w:r>
              <w:rPr>
                <w:rFonts w:ascii="Arial" w:hAnsi="Arial"/>
              </w:rPr>
              <w:t>•</w:t>
            </w:r>
            <w:r w:rsidRPr="003D4579">
              <w:rPr>
                <w:rFonts w:ascii="Arial" w:hAnsi="Arial"/>
              </w:rPr>
              <w:t xml:space="preserve">Select shampoos, conditioners and treatments based on hair analysis </w:t>
            </w:r>
          </w:p>
          <w:p w:rsidR="003D4579" w:rsidRPr="003D4579" w:rsidRDefault="003D4579" w:rsidP="003D4579">
            <w:pPr>
              <w:rPr>
                <w:rFonts w:ascii="Arial" w:hAnsi="Arial"/>
              </w:rPr>
            </w:pPr>
            <w:r>
              <w:rPr>
                <w:rFonts w:ascii="Arial" w:hAnsi="Arial"/>
              </w:rPr>
              <w:t>•</w:t>
            </w:r>
            <w:r w:rsidRPr="003D4579">
              <w:rPr>
                <w:rFonts w:ascii="Arial" w:hAnsi="Arial"/>
              </w:rPr>
              <w:t xml:space="preserve">Describe types of hair loss and available treatment methods, such as alopecia </w:t>
            </w:r>
          </w:p>
          <w:p w:rsidR="003D4579" w:rsidRPr="003D4579" w:rsidRDefault="003D4579" w:rsidP="003D4579">
            <w:pPr>
              <w:rPr>
                <w:rFonts w:ascii="Arial" w:hAnsi="Arial"/>
              </w:rPr>
            </w:pPr>
            <w:r>
              <w:rPr>
                <w:rFonts w:ascii="Arial" w:hAnsi="Arial"/>
              </w:rPr>
              <w:t>•</w:t>
            </w:r>
            <w:r w:rsidRPr="003D4579">
              <w:rPr>
                <w:rFonts w:ascii="Arial" w:hAnsi="Arial"/>
              </w:rPr>
              <w:t>Describe and differentiate common hair</w:t>
            </w:r>
            <w:r>
              <w:rPr>
                <w:rFonts w:ascii="Arial" w:hAnsi="Arial"/>
              </w:rPr>
              <w:t xml:space="preserve"> and scalp conditions and diseas</w:t>
            </w:r>
            <w:r w:rsidRPr="003D4579">
              <w:rPr>
                <w:rFonts w:ascii="Arial" w:hAnsi="Arial"/>
              </w:rPr>
              <w:t xml:space="preserve">es </w:t>
            </w:r>
          </w:p>
          <w:p w:rsidR="003D4579" w:rsidRDefault="003D4579" w:rsidP="003D4579">
            <w:pPr>
              <w:rPr>
                <w:rFonts w:ascii="Arial" w:hAnsi="Arial"/>
              </w:rPr>
            </w:pPr>
            <w:r>
              <w:rPr>
                <w:rFonts w:ascii="Arial" w:hAnsi="Arial"/>
              </w:rPr>
              <w:t>•</w:t>
            </w:r>
            <w:r w:rsidRPr="003D4579">
              <w:rPr>
                <w:rFonts w:ascii="Arial" w:hAnsi="Arial"/>
              </w:rPr>
              <w:t>Recommend treatment for hair and scalp conditions and diseases</w:t>
            </w:r>
          </w:p>
          <w:p w:rsidR="003D4579" w:rsidRDefault="003D4579" w:rsidP="003D457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3D4579" w:rsidRDefault="003D4579">
            <w:pPr>
              <w:rPr>
                <w:rFonts w:ascii="Arial" w:hAnsi="Arial"/>
                <w:b/>
              </w:rPr>
            </w:pPr>
            <w:r w:rsidRPr="003D4579">
              <w:rPr>
                <w:rFonts w:ascii="Arial" w:hAnsi="Arial"/>
                <w:b/>
              </w:rPr>
              <w:t>Select and recommend products and services based on function and composition.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D4579" w:rsidRPr="003D4579" w:rsidRDefault="003D4579" w:rsidP="003D4579">
            <w:pPr>
              <w:rPr>
                <w:rFonts w:ascii="Arial" w:hAnsi="Arial"/>
              </w:rPr>
            </w:pPr>
            <w:r>
              <w:rPr>
                <w:rFonts w:ascii="Arial" w:hAnsi="Arial"/>
              </w:rPr>
              <w:t>•</w:t>
            </w:r>
            <w:r w:rsidRPr="003D4579">
              <w:rPr>
                <w:rFonts w:ascii="Arial" w:hAnsi="Arial"/>
              </w:rPr>
              <w:t xml:space="preserve">Determine pH of products and its effect </w:t>
            </w:r>
          </w:p>
          <w:p w:rsidR="003D4579" w:rsidRPr="003D4579" w:rsidRDefault="003D4579" w:rsidP="003D4579">
            <w:pPr>
              <w:rPr>
                <w:rFonts w:ascii="Arial" w:hAnsi="Arial"/>
              </w:rPr>
            </w:pPr>
            <w:r>
              <w:rPr>
                <w:rFonts w:ascii="Arial" w:hAnsi="Arial"/>
              </w:rPr>
              <w:t>•</w:t>
            </w:r>
            <w:r w:rsidRPr="003D4579">
              <w:rPr>
                <w:rFonts w:ascii="Arial" w:hAnsi="Arial"/>
              </w:rPr>
              <w:t xml:space="preserve">Define the functions of common ingredients in hair care products </w:t>
            </w:r>
          </w:p>
          <w:p w:rsidR="003D4579" w:rsidRDefault="003D4579" w:rsidP="003D4579">
            <w:pPr>
              <w:rPr>
                <w:rFonts w:ascii="Arial" w:hAnsi="Arial"/>
              </w:rPr>
            </w:pPr>
            <w:r>
              <w:rPr>
                <w:rFonts w:ascii="Arial" w:hAnsi="Arial"/>
              </w:rPr>
              <w:t>•</w:t>
            </w:r>
            <w:r w:rsidRPr="003D4579">
              <w:rPr>
                <w:rFonts w:ascii="Arial" w:hAnsi="Arial"/>
              </w:rPr>
              <w:t>Recommend hair care products for home and salon use</w:t>
            </w:r>
          </w:p>
          <w:p w:rsidR="003D4579" w:rsidRPr="003D4579" w:rsidRDefault="003D4579" w:rsidP="003D4579">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3D4579" w:rsidRDefault="003D4579">
            <w:pPr>
              <w:rPr>
                <w:rFonts w:ascii="Arial" w:hAnsi="Arial"/>
                <w:b/>
              </w:rPr>
            </w:pPr>
            <w:r w:rsidRPr="003D4579">
              <w:rPr>
                <w:rFonts w:ascii="Arial" w:hAnsi="Arial"/>
                <w:b/>
              </w:rPr>
              <w:t>Demonstrate preliminary tests for chemical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D4579" w:rsidRPr="003D4579" w:rsidRDefault="003D4579" w:rsidP="003D4579">
            <w:pPr>
              <w:rPr>
                <w:rFonts w:ascii="Arial" w:hAnsi="Arial"/>
              </w:rPr>
            </w:pPr>
            <w:r>
              <w:rPr>
                <w:rFonts w:ascii="Arial" w:hAnsi="Arial"/>
              </w:rPr>
              <w:t>•</w:t>
            </w:r>
            <w:r w:rsidRPr="003D4579">
              <w:rPr>
                <w:rFonts w:ascii="Arial" w:hAnsi="Arial"/>
              </w:rPr>
              <w:t>Strand test for color results</w:t>
            </w:r>
          </w:p>
          <w:p w:rsidR="003D4579" w:rsidRPr="003D4579" w:rsidRDefault="003D4579" w:rsidP="003D4579">
            <w:pPr>
              <w:rPr>
                <w:rFonts w:ascii="Arial" w:hAnsi="Arial"/>
              </w:rPr>
            </w:pPr>
            <w:r>
              <w:rPr>
                <w:rFonts w:ascii="Arial" w:hAnsi="Arial"/>
              </w:rPr>
              <w:t>•</w:t>
            </w:r>
            <w:r w:rsidRPr="003D4579">
              <w:rPr>
                <w:rFonts w:ascii="Arial" w:hAnsi="Arial"/>
              </w:rPr>
              <w:t>Predisposition test for product allergies</w:t>
            </w:r>
          </w:p>
          <w:p w:rsidR="003D4579" w:rsidRPr="003D4579" w:rsidRDefault="003D4579" w:rsidP="003D4579">
            <w:pPr>
              <w:rPr>
                <w:rFonts w:ascii="Arial" w:hAnsi="Arial"/>
              </w:rPr>
            </w:pPr>
            <w:r>
              <w:rPr>
                <w:rFonts w:ascii="Arial" w:hAnsi="Arial"/>
              </w:rPr>
              <w:t>•</w:t>
            </w:r>
            <w:r w:rsidRPr="003D4579">
              <w:rPr>
                <w:rFonts w:ascii="Arial" w:hAnsi="Arial"/>
              </w:rPr>
              <w:t>Test curl for waving and relaxing</w:t>
            </w:r>
          </w:p>
          <w:p w:rsidR="003D4579" w:rsidRDefault="003D4579" w:rsidP="003D4579">
            <w:pPr>
              <w:rPr>
                <w:rFonts w:ascii="Arial" w:hAnsi="Arial"/>
              </w:rPr>
            </w:pPr>
            <w:r>
              <w:rPr>
                <w:rFonts w:ascii="Arial" w:hAnsi="Arial"/>
              </w:rPr>
              <w:t>•</w:t>
            </w:r>
            <w:r w:rsidRPr="003D4579">
              <w:rPr>
                <w:rFonts w:ascii="Arial" w:hAnsi="Arial"/>
              </w:rPr>
              <w:t>Apply relevant knowledge and interpretation of results  to determine service recommendations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D4579">
            <w:pPr>
              <w:rPr>
                <w:rFonts w:ascii="Arial" w:hAnsi="Arial"/>
              </w:rPr>
            </w:pPr>
            <w:r>
              <w:rPr>
                <w:rFonts w:ascii="Arial" w:hAnsi="Arial"/>
              </w:rPr>
              <w:t>PH scale indicator and differentiate acids from alkalis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3D4579">
            <w:pPr>
              <w:rPr>
                <w:rFonts w:ascii="Arial" w:hAnsi="Arial"/>
              </w:rPr>
            </w:pPr>
            <w:r>
              <w:rPr>
                <w:rFonts w:ascii="Arial" w:hAnsi="Arial"/>
              </w:rPr>
              <w:t>Product chemical compositions and home care recommendations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D4579">
            <w:pPr>
              <w:rPr>
                <w:rFonts w:ascii="Arial" w:hAnsi="Arial"/>
              </w:rPr>
            </w:pPr>
            <w:r>
              <w:rPr>
                <w:rFonts w:ascii="Arial" w:hAnsi="Arial"/>
              </w:rPr>
              <w:t>Scalp and hair conditions and recommended treatment options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3D4579">
            <w:pPr>
              <w:rPr>
                <w:rFonts w:ascii="Arial" w:hAnsi="Arial"/>
              </w:rPr>
            </w:pPr>
            <w:r>
              <w:rPr>
                <w:rFonts w:ascii="Arial" w:hAnsi="Arial"/>
              </w:rPr>
              <w:t>Preliminary allergy, formulation and curl completion testing, for chemical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3D4579" w:rsidRPr="003D4579" w:rsidRDefault="003D4579" w:rsidP="003D4579">
            <w:pPr>
              <w:rPr>
                <w:rFonts w:ascii="Arial" w:hAnsi="Arial"/>
                <w:i/>
              </w:rPr>
            </w:pPr>
            <w:r w:rsidRPr="003D4579">
              <w:rPr>
                <w:rFonts w:ascii="Arial" w:hAnsi="Arial"/>
                <w:i/>
              </w:rPr>
              <w:t>Milady Textbook</w:t>
            </w:r>
          </w:p>
          <w:p w:rsidR="003D4579" w:rsidRPr="003D4579" w:rsidRDefault="003D4579" w:rsidP="003D4579">
            <w:pPr>
              <w:rPr>
                <w:rFonts w:ascii="Arial" w:hAnsi="Arial"/>
                <w:i/>
              </w:rPr>
            </w:pPr>
            <w:r w:rsidRPr="003D4579">
              <w:rPr>
                <w:rFonts w:ascii="Arial" w:hAnsi="Arial"/>
                <w:i/>
              </w:rPr>
              <w:t>Milady Theory Workbook</w:t>
            </w:r>
          </w:p>
          <w:p w:rsidR="003D4579" w:rsidRPr="003D4579" w:rsidRDefault="003D4579" w:rsidP="003D4579">
            <w:pPr>
              <w:rPr>
                <w:rFonts w:ascii="Arial" w:hAnsi="Arial"/>
                <w:i/>
              </w:rPr>
            </w:pPr>
            <w:r w:rsidRPr="003D4579">
              <w:rPr>
                <w:rFonts w:ascii="Arial" w:hAnsi="Arial"/>
                <w:i/>
              </w:rPr>
              <w:t>Milady Practical Workbook</w:t>
            </w:r>
          </w:p>
          <w:p w:rsidR="003D4579" w:rsidRPr="003D4579" w:rsidRDefault="003D4579" w:rsidP="003D4579">
            <w:pPr>
              <w:rPr>
                <w:rFonts w:ascii="Arial" w:hAnsi="Arial"/>
                <w:i/>
              </w:rPr>
            </w:pPr>
            <w:r w:rsidRPr="003D4579">
              <w:rPr>
                <w:rFonts w:ascii="Arial" w:hAnsi="Arial"/>
                <w:i/>
              </w:rPr>
              <w:t>Pivot Point Textbook</w:t>
            </w:r>
          </w:p>
          <w:p w:rsidR="003D4579" w:rsidRDefault="003D4579" w:rsidP="003D4579">
            <w:pPr>
              <w:rPr>
                <w:rFonts w:ascii="Arial" w:hAnsi="Arial"/>
                <w:i/>
              </w:rPr>
            </w:pPr>
            <w:r w:rsidRPr="003D4579">
              <w:rPr>
                <w:rFonts w:ascii="Arial" w:hAnsi="Arial"/>
                <w:i/>
              </w:rPr>
              <w:t>Pivot Point Study Guide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3D4579" w:rsidRPr="003D4579" w:rsidRDefault="003D4579" w:rsidP="003D4579">
            <w:pPr>
              <w:rPr>
                <w:rFonts w:ascii="Arial" w:hAnsi="Arial"/>
                <w:b/>
              </w:rPr>
            </w:pPr>
            <w:r w:rsidRPr="003D4579">
              <w:rPr>
                <w:rFonts w:ascii="Arial" w:hAnsi="Arial"/>
                <w:b/>
              </w:rPr>
              <w:t>Theory</w:t>
            </w:r>
          </w:p>
          <w:p w:rsidR="003D4579" w:rsidRPr="002A674C" w:rsidRDefault="003D4579" w:rsidP="003D4579">
            <w:pPr>
              <w:rPr>
                <w:rFonts w:ascii="Arial" w:hAnsi="Arial"/>
              </w:rPr>
            </w:pPr>
            <w:r w:rsidRPr="002A674C">
              <w:rPr>
                <w:rFonts w:ascii="Arial" w:hAnsi="Arial"/>
              </w:rPr>
              <w:t xml:space="preserve">Tests and Quizzes </w:t>
            </w:r>
            <w:r w:rsidRPr="002A674C">
              <w:rPr>
                <w:rFonts w:ascii="Arial" w:hAnsi="Arial"/>
              </w:rPr>
              <w:tab/>
              <w:t>40%</w:t>
            </w:r>
          </w:p>
          <w:p w:rsidR="003D4579" w:rsidRPr="003D4579" w:rsidRDefault="003D4579" w:rsidP="003D4579">
            <w:pPr>
              <w:rPr>
                <w:rFonts w:ascii="Arial" w:hAnsi="Arial"/>
                <w:b/>
              </w:rPr>
            </w:pPr>
            <w:r w:rsidRPr="003D4579">
              <w:rPr>
                <w:rFonts w:ascii="Arial" w:hAnsi="Arial"/>
                <w:b/>
              </w:rPr>
              <w:tab/>
            </w:r>
          </w:p>
          <w:p w:rsidR="003D4579" w:rsidRPr="003D4579" w:rsidRDefault="003D4579" w:rsidP="003D4579">
            <w:pPr>
              <w:rPr>
                <w:rFonts w:ascii="Arial" w:hAnsi="Arial"/>
                <w:b/>
              </w:rPr>
            </w:pPr>
            <w:r w:rsidRPr="003D4579">
              <w:rPr>
                <w:rFonts w:ascii="Arial" w:hAnsi="Arial"/>
                <w:b/>
              </w:rPr>
              <w:t xml:space="preserve">Practical </w:t>
            </w:r>
          </w:p>
          <w:p w:rsidR="003D4579" w:rsidRPr="002A674C" w:rsidRDefault="003D4579" w:rsidP="003D4579">
            <w:pPr>
              <w:rPr>
                <w:rFonts w:ascii="Arial" w:hAnsi="Arial"/>
              </w:rPr>
            </w:pPr>
            <w:r w:rsidRPr="002A674C">
              <w:rPr>
                <w:rFonts w:ascii="Arial" w:hAnsi="Arial"/>
              </w:rPr>
              <w:t>Practical Application</w:t>
            </w:r>
            <w:r w:rsidRPr="002A674C">
              <w:rPr>
                <w:rFonts w:ascii="Arial" w:hAnsi="Arial"/>
              </w:rPr>
              <w:tab/>
              <w:t>40%</w:t>
            </w:r>
          </w:p>
          <w:p w:rsidR="003D4579" w:rsidRPr="002A674C" w:rsidRDefault="003D4579" w:rsidP="003D4579">
            <w:pPr>
              <w:rPr>
                <w:rFonts w:ascii="Arial" w:hAnsi="Arial"/>
              </w:rPr>
            </w:pPr>
            <w:r w:rsidRPr="002A674C">
              <w:rPr>
                <w:rFonts w:ascii="Arial" w:hAnsi="Arial"/>
              </w:rPr>
              <w:t>Final Assessment</w:t>
            </w:r>
            <w:r w:rsidRPr="002A674C">
              <w:rPr>
                <w:rFonts w:ascii="Arial" w:hAnsi="Arial"/>
              </w:rPr>
              <w:tab/>
            </w:r>
            <w:r w:rsidR="002A674C" w:rsidRPr="002A674C">
              <w:rPr>
                <w:rFonts w:ascii="Arial" w:hAnsi="Arial"/>
              </w:rPr>
              <w:t xml:space="preserve">           </w:t>
            </w:r>
            <w:r w:rsidRPr="002A674C">
              <w:rPr>
                <w:rFonts w:ascii="Arial" w:hAnsi="Arial"/>
              </w:rPr>
              <w:t>20%</w:t>
            </w:r>
          </w:p>
          <w:p w:rsidR="003D4579" w:rsidRPr="003D4579" w:rsidRDefault="003D4579" w:rsidP="003D4579">
            <w:pPr>
              <w:rPr>
                <w:rFonts w:ascii="Arial" w:hAnsi="Arial"/>
                <w:b/>
              </w:rPr>
            </w:pPr>
          </w:p>
          <w:p w:rsidR="003D4579" w:rsidRDefault="003D4579" w:rsidP="003D4579">
            <w:pPr>
              <w:rPr>
                <w:rFonts w:ascii="Arial" w:hAnsi="Arial"/>
                <w:b/>
              </w:rPr>
            </w:pPr>
            <w:r w:rsidRPr="003D4579">
              <w:rPr>
                <w:rFonts w:ascii="Arial" w:hAnsi="Arial"/>
                <w:b/>
              </w:rPr>
              <w:t>Students must achieve a 50% grade average in each component to meet Ministry and program standards.</w:t>
            </w:r>
          </w:p>
          <w:p w:rsidR="00D1300B" w:rsidRDefault="00D1300B" w:rsidP="003D4579"/>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 xml:space="preserve">Satisfactory achievement in field /clinical </w:t>
            </w:r>
            <w:r>
              <w:rPr>
                <w:rFonts w:ascii="Arial" w:hAnsi="Arial" w:cs="Arial"/>
              </w:rPr>
              <w:lastRenderedPageBreak/>
              <w:t>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3D4579">
        <w:tc>
          <w:tcPr>
            <w:tcW w:w="8856" w:type="dxa"/>
            <w:gridSpan w:val="4"/>
          </w:tcPr>
          <w:p w:rsidR="002876E6" w:rsidRDefault="002876E6">
            <w:pPr>
              <w:jc w:val="center"/>
              <w:rPr>
                <w:rFonts w:ascii="Arial" w:hAnsi="Arial" w:cs="Arial"/>
              </w:rPr>
            </w:pPr>
          </w:p>
        </w:tc>
      </w:tr>
      <w:tr w:rsidR="002876E6" w:rsidTr="003D4579">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2A674C">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2A674C">
              <w:rPr>
                <w:rFonts w:ascii="Arial" w:hAnsi="Arial" w:cs="Arial"/>
                <w:szCs w:val="24"/>
              </w:rPr>
              <w:t>All missed hours in both theory and practical will need to be made up prior to the end of each semester.</w:t>
            </w:r>
          </w:p>
        </w:tc>
      </w:tr>
      <w:tr w:rsidR="00EF4EC9" w:rsidRPr="00723208" w:rsidTr="004E298B">
        <w:trPr>
          <w:gridAfter w:val="1"/>
          <w:wAfter w:w="18" w:type="dxa"/>
          <w:cantSplit/>
        </w:trPr>
        <w:tc>
          <w:tcPr>
            <w:tcW w:w="8838" w:type="dxa"/>
            <w:gridSpan w:val="2"/>
          </w:tcPr>
          <w:p w:rsidR="00EF4EC9" w:rsidRDefault="00EF4EC9" w:rsidP="002A674C">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C3F" w:rsidRDefault="00F45C3F">
      <w:r>
        <w:separator/>
      </w:r>
    </w:p>
  </w:endnote>
  <w:endnote w:type="continuationSeparator" w:id="0">
    <w:p w:rsidR="00F45C3F" w:rsidRDefault="00F4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C3F" w:rsidRDefault="00F45C3F">
      <w:r>
        <w:separator/>
      </w:r>
    </w:p>
  </w:footnote>
  <w:footnote w:type="continuationSeparator" w:id="0">
    <w:p w:rsidR="00F45C3F" w:rsidRDefault="00F45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579" w:rsidRDefault="003D45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4579" w:rsidRDefault="003D45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579" w:rsidRDefault="003D45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7B4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D4579">
      <w:tc>
        <w:tcPr>
          <w:tcW w:w="3794" w:type="dxa"/>
        </w:tcPr>
        <w:p w:rsidR="003D4579" w:rsidRDefault="003D4579">
          <w:pPr>
            <w:rPr>
              <w:rFonts w:ascii="Arial" w:hAnsi="Arial"/>
              <w:snapToGrid w:val="0"/>
            </w:rPr>
          </w:pPr>
        </w:p>
      </w:tc>
      <w:tc>
        <w:tcPr>
          <w:tcW w:w="1134" w:type="dxa"/>
        </w:tcPr>
        <w:p w:rsidR="003D4579" w:rsidRDefault="003D4579">
          <w:pPr>
            <w:pStyle w:val="Header"/>
            <w:jc w:val="center"/>
            <w:rPr>
              <w:rFonts w:ascii="Arial" w:hAnsi="Arial"/>
              <w:snapToGrid w:val="0"/>
            </w:rPr>
          </w:pPr>
        </w:p>
      </w:tc>
      <w:tc>
        <w:tcPr>
          <w:tcW w:w="3928" w:type="dxa"/>
        </w:tcPr>
        <w:p w:rsidR="003D4579" w:rsidRDefault="003D4579">
          <w:pPr>
            <w:pStyle w:val="Header"/>
            <w:jc w:val="right"/>
            <w:rPr>
              <w:rFonts w:ascii="Arial" w:hAnsi="Arial"/>
              <w:snapToGrid w:val="0"/>
            </w:rPr>
          </w:pPr>
        </w:p>
      </w:tc>
    </w:tr>
    <w:tr w:rsidR="003D4579">
      <w:tc>
        <w:tcPr>
          <w:tcW w:w="3794" w:type="dxa"/>
        </w:tcPr>
        <w:p w:rsidR="003D4579" w:rsidRDefault="003D4579" w:rsidP="003D4579">
          <w:pPr>
            <w:rPr>
              <w:rFonts w:ascii="Arial" w:hAnsi="Arial"/>
              <w:snapToGrid w:val="0"/>
            </w:rPr>
          </w:pPr>
          <w:r>
            <w:rPr>
              <w:rFonts w:ascii="Arial" w:hAnsi="Arial"/>
              <w:snapToGrid w:val="0"/>
            </w:rPr>
            <w:t>Preparatory Procedures and Treatments 2</w:t>
          </w:r>
        </w:p>
      </w:tc>
      <w:tc>
        <w:tcPr>
          <w:tcW w:w="1134" w:type="dxa"/>
        </w:tcPr>
        <w:p w:rsidR="003D4579" w:rsidRDefault="003D4579">
          <w:pPr>
            <w:pStyle w:val="Header"/>
            <w:jc w:val="center"/>
            <w:rPr>
              <w:rFonts w:ascii="Arial" w:hAnsi="Arial"/>
              <w:snapToGrid w:val="0"/>
            </w:rPr>
          </w:pPr>
        </w:p>
      </w:tc>
      <w:tc>
        <w:tcPr>
          <w:tcW w:w="3928" w:type="dxa"/>
        </w:tcPr>
        <w:p w:rsidR="003D4579" w:rsidRDefault="003D4579">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151</w:t>
          </w:r>
        </w:p>
      </w:tc>
    </w:tr>
  </w:tbl>
  <w:p w:rsidR="003D4579" w:rsidRDefault="003D457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914B2"/>
    <w:rsid w:val="0013201F"/>
    <w:rsid w:val="001428EB"/>
    <w:rsid w:val="00177078"/>
    <w:rsid w:val="00177B40"/>
    <w:rsid w:val="001B72EE"/>
    <w:rsid w:val="00283F8A"/>
    <w:rsid w:val="002876E6"/>
    <w:rsid w:val="00295232"/>
    <w:rsid w:val="002A674C"/>
    <w:rsid w:val="002D0F95"/>
    <w:rsid w:val="002D240A"/>
    <w:rsid w:val="003A0238"/>
    <w:rsid w:val="003D0B70"/>
    <w:rsid w:val="003D4579"/>
    <w:rsid w:val="003D5562"/>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521C3"/>
    <w:rsid w:val="00DC1839"/>
    <w:rsid w:val="00E25868"/>
    <w:rsid w:val="00E8152E"/>
    <w:rsid w:val="00E86FF6"/>
    <w:rsid w:val="00EE6E49"/>
    <w:rsid w:val="00EF4EC9"/>
    <w:rsid w:val="00F0236B"/>
    <w:rsid w:val="00F430A9"/>
    <w:rsid w:val="00F45C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177B40"/>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177B40"/>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DEAE42-4115-4CE5-9D7B-441501F198ED}"/>
</file>

<file path=customXml/itemProps2.xml><?xml version="1.0" encoding="utf-8"?>
<ds:datastoreItem xmlns:ds="http://schemas.openxmlformats.org/officeDocument/2006/customXml" ds:itemID="{B616C55A-632C-40D6-81A2-5432D3D02018}"/>
</file>

<file path=customXml/itemProps3.xml><?xml version="1.0" encoding="utf-8"?>
<ds:datastoreItem xmlns:ds="http://schemas.openxmlformats.org/officeDocument/2006/customXml" ds:itemID="{A1647E09-5935-4338-B4D8-50C02FFEA537}"/>
</file>

<file path=docProps/app.xml><?xml version="1.0" encoding="utf-8"?>
<Properties xmlns="http://schemas.openxmlformats.org/officeDocument/2006/extended-properties" xmlns:vt="http://schemas.openxmlformats.org/officeDocument/2006/docPropsVTypes">
  <Template>Normal.dotm</Template>
  <TotalTime>0</TotalTime>
  <Pages>4</Pages>
  <Words>717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2015-06-29T13:18:00Z</dcterms:created>
  <dcterms:modified xsi:type="dcterms:W3CDTF">2015-06-29T13:18:00Z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11060000</vt:r8>
  </property>
</Properties>
</file>